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3D1D31" w:rsidRDefault="003D1D31">
            <w:pPr>
              <w:pStyle w:val="Heading5"/>
              <w:rPr>
                <w:sz w:val="16"/>
              </w:rPr>
            </w:pPr>
            <w:r>
              <w:t>BSW</w:t>
            </w:r>
          </w:p>
          <w:p w:rsidR="003D1D31" w:rsidRPr="008C40E5" w:rsidRDefault="004C368F">
            <w:pPr>
              <w:pStyle w:val="Heading1"/>
              <w:rPr>
                <w:rFonts w:ascii="Verdana" w:hAnsi="Verdana"/>
                <w:b w:val="0"/>
              </w:rPr>
            </w:pPr>
            <w:r>
              <w:rPr>
                <w:rFonts w:ascii="Verdana" w:hAnsi="Verdana"/>
              </w:rPr>
              <w:t>FINAL</w:t>
            </w:r>
            <w:r w:rsidR="003D1D31" w:rsidRPr="008C40E5">
              <w:rPr>
                <w:rFonts w:ascii="Verdana" w:hAnsi="Verdana"/>
              </w:rPr>
              <w:t xml:space="preserve"> EVALUATION</w:t>
            </w:r>
            <w:r>
              <w:rPr>
                <w:rFonts w:ascii="Verdana" w:hAnsi="Verdana"/>
              </w:rPr>
              <w:t xml:space="preserve"> (Field Instructor)</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Pr="008C40E5">
              <w:rPr>
                <w:rFonts w:ascii="Verdana" w:hAnsi="Verdana"/>
                <w:b/>
              </w:rPr>
              <w:t>__489  SPRING SEMESTER</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sidRPr="008C40E5">
              <w:rPr>
                <w:rFonts w:ascii="Verdana" w:hAnsi="Verdana"/>
                <w:b/>
              </w:rPr>
              <w:t>_____489  SUMMER SEMESTER</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91242B" w:rsidRPr="008C40E5" w:rsidRDefault="0091242B" w:rsidP="0091242B">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91242B" w:rsidRPr="008C40E5" w:rsidRDefault="0091242B" w:rsidP="0091242B">
      <w:pPr>
        <w:rPr>
          <w:rFonts w:ascii="Verdana" w:hAnsi="Verdana"/>
          <w:sz w:val="18"/>
        </w:rPr>
      </w:pPr>
    </w:p>
    <w:p w:rsidR="00AF0E9D" w:rsidRDefault="00AF0E9D" w:rsidP="00C15DD0">
      <w:pPr>
        <w:rPr>
          <w:rFonts w:ascii="Verdana" w:hAnsi="Verdana"/>
          <w:b/>
          <w:sz w:val="24"/>
        </w:rPr>
      </w:pP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8B2B53" w:rsidRPr="008B2B53" w:rsidRDefault="008B2B53" w:rsidP="008B2B53">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Default="00D837E2" w:rsidP="0091242B">
      <w:pPr>
        <w:pStyle w:val="Header"/>
        <w:widowControl/>
        <w:tabs>
          <w:tab w:val="left" w:pos="720"/>
        </w:tabs>
        <w:ind w:right="-576"/>
        <w:rPr>
          <w:rFonts w:ascii="Verdana" w:hAnsi="Verdana"/>
          <w:b/>
          <w:sz w:val="22"/>
          <w:lang w:val="ru-RU"/>
        </w:rPr>
      </w:pPr>
    </w:p>
    <w:p w:rsidR="0091242B" w:rsidRPr="008C40E5" w:rsidRDefault="0091242B" w:rsidP="0091242B">
      <w:pPr>
        <w:pStyle w:val="Header"/>
        <w:widowControl/>
        <w:tabs>
          <w:tab w:val="left" w:pos="720"/>
        </w:tabs>
        <w:ind w:right="-576"/>
        <w:rPr>
          <w:rFonts w:ascii="Verdana" w:hAnsi="Verdana"/>
          <w:b/>
          <w:sz w:val="22"/>
        </w:rPr>
      </w:pPr>
      <w:r w:rsidRPr="008C40E5">
        <w:rPr>
          <w:rFonts w:ascii="Verdana" w:hAnsi="Verdana"/>
          <w:b/>
          <w:sz w:val="22"/>
          <w:lang w:val="ru-RU"/>
        </w:rPr>
        <w:t>Agency Instructor</w:t>
      </w:r>
      <w:r w:rsidRPr="008C40E5">
        <w:rPr>
          <w:rFonts w:ascii="Verdana" w:hAnsi="Verdana"/>
          <w:b/>
          <w:sz w:val="22"/>
        </w:rPr>
        <w:t>’s</w:t>
      </w:r>
      <w:r w:rsidRPr="008C40E5">
        <w:rPr>
          <w:rFonts w:ascii="Verdana" w:hAnsi="Verdana"/>
          <w:b/>
          <w:sz w:val="22"/>
          <w:lang w:val="ru-RU"/>
        </w:rPr>
        <w:t xml:space="preserve"> comments </w:t>
      </w:r>
      <w:r w:rsidRPr="008C40E5">
        <w:rPr>
          <w:rFonts w:ascii="Verdana" w:hAnsi="Verdana"/>
          <w:b/>
          <w:sz w:val="22"/>
        </w:rPr>
        <w:t>should include a description of the students strengths and areas for improvement.  Please elaborate on any objectives that warrant attention.   If there are any objectives that the student did not have an opportunity to practice, please explain</w:t>
      </w:r>
      <w:r w:rsidRPr="008C40E5">
        <w:rPr>
          <w:rFonts w:ascii="Verdana" w:hAnsi="Verdana"/>
          <w:sz w:val="22"/>
        </w:rPr>
        <w:t>.</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8B2B53">
        <w:trPr>
          <w:cantSplit/>
          <w:trHeight w:val="327"/>
          <w:jc w:val="center"/>
        </w:trPr>
        <w:tc>
          <w:tcPr>
            <w:tcW w:w="9450" w:type="dxa"/>
            <w:tcBorders>
              <w:bottom w:val="nil"/>
            </w:tcBorders>
            <w:shd w:val="pct5" w:color="auto" w:fill="auto"/>
          </w:tcPr>
          <w:p w:rsidR="00D837E2" w:rsidRPr="005963CC" w:rsidRDefault="00D837E2" w:rsidP="008B2B53">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8B2B53">
            <w:pPr>
              <w:jc w:val="center"/>
              <w:rPr>
                <w:rFonts w:ascii="Verdana" w:hAnsi="Verdana"/>
                <w:b/>
                <w:sz w:val="24"/>
              </w:rPr>
            </w:pPr>
            <w:r w:rsidRPr="00D05412">
              <w:rPr>
                <w:rFonts w:ascii="Verdana" w:hAnsi="Verdana"/>
                <w:b/>
                <w:sz w:val="24"/>
              </w:rPr>
              <w:t>Rating</w:t>
            </w:r>
          </w:p>
        </w:tc>
      </w:tr>
      <w:tr w:rsidR="00D837E2" w:rsidRPr="00D05412" w:rsidTr="008B2B53">
        <w:trPr>
          <w:cantSplit/>
          <w:jc w:val="center"/>
        </w:trPr>
        <w:tc>
          <w:tcPr>
            <w:tcW w:w="9450" w:type="dxa"/>
            <w:tcBorders>
              <w:bottom w:val="single" w:sz="6" w:space="0" w:color="000000"/>
            </w:tcBorders>
            <w:shd w:val="pct5" w:color="auto" w:fill="FFFFFF"/>
          </w:tcPr>
          <w:p w:rsidR="00D837E2" w:rsidRPr="000306C0" w:rsidRDefault="00D837E2" w:rsidP="008B2B53">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8B2B53">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5963CC" w:rsidRPr="008C40E5" w:rsidRDefault="005963CC" w:rsidP="005963CC">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tblGrid>
      <w:tr w:rsidR="0091242B" w:rsidRPr="008C40E5">
        <w:tc>
          <w:tcPr>
            <w:tcW w:w="648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rsidP="0091242B">
            <w:pPr>
              <w:rPr>
                <w:rFonts w:ascii="Verdana" w:hAnsi="Verdana"/>
                <w:b/>
                <w:sz w:val="22"/>
              </w:rPr>
            </w:pPr>
            <w:r>
              <w:rPr>
                <w:rFonts w:ascii="Verdana" w:hAnsi="Verdana"/>
                <w:b/>
                <w:sz w:val="22"/>
              </w:rPr>
              <w:t>FIELD</w:t>
            </w:r>
            <w:r w:rsidRPr="008C40E5">
              <w:rPr>
                <w:rFonts w:ascii="Verdana" w:hAnsi="Verdana"/>
                <w:b/>
                <w:sz w:val="22"/>
              </w:rPr>
              <w:t xml:space="preserve"> INSTRUCTOR SECTION</w:t>
            </w:r>
          </w:p>
        </w:tc>
      </w:tr>
    </w:tbl>
    <w:p w:rsidR="0091242B" w:rsidRPr="008C40E5" w:rsidRDefault="0091242B" w:rsidP="0091242B">
      <w:pPr>
        <w:pStyle w:val="BodyText2"/>
        <w:spacing w:line="240" w:lineRule="auto"/>
        <w:rPr>
          <w:rFonts w:ascii="Verdana" w:hAnsi="Verdana"/>
          <w:sz w:val="22"/>
        </w:rPr>
      </w:pPr>
      <w:r w:rsidRPr="008C40E5">
        <w:rPr>
          <w:rFonts w:ascii="Verdana" w:hAnsi="Verdana"/>
        </w:rPr>
        <w:t>Describe the method(s) and process used for evaluating student's progress, (i.e. direct observation, review of case records, audio/video-taped sessions, client or staff feedback, supervisory sessions, etc</w:t>
      </w:r>
      <w:r w:rsidRPr="008C40E5">
        <w:rPr>
          <w:rFonts w:ascii="Verdana" w:hAnsi="Verdana"/>
          <w:sz w:val="22"/>
        </w:rPr>
        <w:t>.).</w:t>
      </w: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551761" w:rsidRDefault="0091242B" w:rsidP="0091242B">
      <w:pPr>
        <w:rPr>
          <w:rFonts w:ascii="Verdana" w:hAnsi="Verdana"/>
          <w:b/>
        </w:rPr>
      </w:pPr>
      <w:r w:rsidRPr="008C40E5">
        <w:rPr>
          <w:rFonts w:ascii="Verdana" w:hAnsi="Verdana"/>
          <w:b/>
        </w:rPr>
        <w:t>__________________________</w:t>
      </w:r>
      <w:r>
        <w:rPr>
          <w:rFonts w:ascii="Verdana" w:hAnsi="Verdana"/>
          <w:b/>
        </w:rPr>
        <w:t>_________________________________</w:t>
      </w:r>
      <w:r w:rsidRPr="008C40E5">
        <w:rPr>
          <w:rFonts w:ascii="Verdana" w:hAnsi="Verdana"/>
          <w:b/>
        </w:rPr>
        <w:t>_</w:t>
      </w:r>
    </w:p>
    <w:p w:rsidR="0091242B" w:rsidRDefault="0091242B" w:rsidP="0091242B">
      <w:pPr>
        <w:rPr>
          <w:rFonts w:ascii="Verdana" w:hAnsi="Verdana"/>
          <w:b/>
          <w:sz w:val="12"/>
        </w:rPr>
      </w:pPr>
    </w:p>
    <w:p w:rsidR="002943F5" w:rsidRPr="008C40E5" w:rsidRDefault="002943F5" w:rsidP="0091242B">
      <w:pPr>
        <w:rPr>
          <w:rFonts w:ascii="Verdana" w:hAnsi="Verdana"/>
          <w:b/>
        </w:rPr>
      </w:pPr>
    </w:p>
    <w:p w:rsidR="0091242B" w:rsidRDefault="0091242B" w:rsidP="0091242B">
      <w:pPr>
        <w:rPr>
          <w:rFonts w:ascii="Verdana" w:hAnsi="Verdana"/>
          <w:b/>
        </w:rPr>
      </w:pPr>
      <w:r>
        <w:rPr>
          <w:rFonts w:ascii="Verdana" w:hAnsi="Verdana"/>
          <w:b/>
        </w:rPr>
        <w:t>Field</w:t>
      </w:r>
      <w:r w:rsidRPr="008C40E5">
        <w:rPr>
          <w:rFonts w:ascii="Verdana" w:hAnsi="Verdana"/>
          <w:b/>
        </w:rPr>
        <w:t xml:space="preserve"> Instructor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91242B" w:rsidRPr="008C40E5" w:rsidRDefault="0091242B" w:rsidP="0091242B">
      <w:pPr>
        <w:rPr>
          <w:rFonts w:ascii="Verdana" w:hAnsi="Verdana"/>
          <w:b/>
        </w:rPr>
      </w:pPr>
    </w:p>
    <w:p w:rsidR="0091242B" w:rsidRDefault="00320F34" w:rsidP="0091242B">
      <w:pPr>
        <w:rPr>
          <w:rFonts w:ascii="Verdana" w:hAnsi="Verdana"/>
          <w:b/>
        </w:rPr>
      </w:pPr>
      <w:r>
        <w:rPr>
          <w:rFonts w:ascii="Verdana" w:hAnsi="Verdana"/>
          <w:b/>
        </w:rPr>
        <w:t>Task Supervisor</w:t>
      </w:r>
      <w:r w:rsidR="0091242B" w:rsidRPr="008C40E5">
        <w:rPr>
          <w:rFonts w:ascii="Verdana" w:hAnsi="Verdana"/>
          <w:b/>
        </w:rPr>
        <w:t xml:space="preserve"> Signature (If applicable) </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3109CC" w:rsidRPr="008C40E5" w:rsidRDefault="003109CC" w:rsidP="0091242B">
      <w:pPr>
        <w:rPr>
          <w:rFonts w:ascii="Verdana" w:hAnsi="Verdana"/>
          <w:b/>
        </w:rPr>
      </w:pPr>
    </w:p>
    <w:p w:rsidR="0091242B" w:rsidRPr="008C40E5" w:rsidRDefault="0091242B" w:rsidP="0091242B">
      <w:pPr>
        <w:pStyle w:val="BodyText"/>
        <w:ind w:left="3600" w:hanging="3600"/>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tblGrid>
      <w:tr w:rsidR="0091242B" w:rsidRPr="008C40E5" w:rsidTr="003D1D31">
        <w:tc>
          <w:tcPr>
            <w:tcW w:w="441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3D1D31">
            <w:pPr>
              <w:pStyle w:val="BodyText"/>
              <w:rPr>
                <w:u w:val="single"/>
              </w:rPr>
            </w:pPr>
            <w:r>
              <w:t xml:space="preserve">FACULTY </w:t>
            </w:r>
            <w:r w:rsidR="0091242B">
              <w:t>FIELD LIAISON</w:t>
            </w:r>
            <w:r w:rsidR="0091242B" w:rsidRPr="008C40E5">
              <w:t xml:space="preserve">  SECTION</w:t>
            </w:r>
          </w:p>
        </w:tc>
      </w:tr>
    </w:tbl>
    <w:p w:rsidR="0091242B" w:rsidRPr="008C40E5" w:rsidRDefault="0091242B" w:rsidP="0091242B">
      <w:pPr>
        <w:pStyle w:val="BodyText"/>
        <w:ind w:right="-432"/>
        <w:rPr>
          <w:b w:val="0"/>
        </w:rPr>
      </w:pPr>
      <w:r w:rsidRPr="008C40E5">
        <w:rPr>
          <w:b w:val="0"/>
        </w:rPr>
        <w:t xml:space="preserve">State reasons for supporting/ not supporting </w:t>
      </w:r>
      <w:r>
        <w:rPr>
          <w:b w:val="0"/>
        </w:rPr>
        <w:t>Field</w:t>
      </w:r>
      <w:r w:rsidRPr="008C40E5">
        <w:rPr>
          <w:b w:val="0"/>
        </w:rPr>
        <w:t xml:space="preserve"> Instructor’s recommendation.  </w:t>
      </w:r>
    </w:p>
    <w:p w:rsidR="0091242B" w:rsidRPr="008C40E5" w:rsidRDefault="0091242B" w:rsidP="0091242B">
      <w:pPr>
        <w:pStyle w:val="BodyText"/>
        <w:rPr>
          <w:b w:val="0"/>
        </w:rPr>
      </w:pPr>
    </w:p>
    <w:p w:rsidR="0091242B" w:rsidRPr="00D07892" w:rsidRDefault="0091242B" w:rsidP="0091242B">
      <w:pPr>
        <w:pStyle w:val="BodyText"/>
      </w:pPr>
      <w:r w:rsidRPr="00D07892">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rPr>
          <w:rFonts w:ascii="Verdana" w:hAnsi="Verdana"/>
          <w:b/>
          <w:sz w:val="12"/>
        </w:rPr>
      </w:pPr>
    </w:p>
    <w:p w:rsidR="0091242B" w:rsidRDefault="0091242B" w:rsidP="0091242B">
      <w:pPr>
        <w:rPr>
          <w:rFonts w:ascii="Verdana" w:hAnsi="Verdana"/>
          <w:b/>
        </w:rPr>
      </w:pPr>
      <w:r w:rsidRPr="008C40E5">
        <w:rPr>
          <w:rFonts w:ascii="Verdana" w:hAnsi="Verdana"/>
          <w:b/>
        </w:rPr>
        <w:t>______________________________________________________</w:t>
      </w:r>
      <w:r>
        <w:rPr>
          <w:rFonts w:ascii="Verdana" w:hAnsi="Verdana"/>
          <w:b/>
        </w:rPr>
        <w:t>______</w:t>
      </w:r>
    </w:p>
    <w:p w:rsidR="0091242B" w:rsidRPr="00F510E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pStyle w:val="BodyText"/>
        <w:ind w:left="3600" w:hanging="3600"/>
        <w:rPr>
          <w:b w:val="0"/>
        </w:rPr>
      </w:pPr>
    </w:p>
    <w:p w:rsidR="0091242B" w:rsidRPr="00D07892" w:rsidRDefault="003D1D31" w:rsidP="0091242B">
      <w:pPr>
        <w:pStyle w:val="BodyText"/>
        <w:ind w:left="3600" w:hanging="3600"/>
      </w:pPr>
      <w:r w:rsidRPr="00D07892">
        <w:t xml:space="preserve">Faculty </w:t>
      </w:r>
      <w:r w:rsidR="0091242B" w:rsidRPr="00D07892">
        <w:t xml:space="preserve">Field </w:t>
      </w:r>
      <w:r w:rsidR="0091242B" w:rsidRPr="00D07892">
        <w:rPr>
          <w:lang w:val="en-US"/>
        </w:rPr>
        <w:t>Liaison</w:t>
      </w:r>
      <w:r w:rsidR="0091242B" w:rsidRPr="00D07892">
        <w:t xml:space="preserve"> Signature </w:t>
      </w:r>
    </w:p>
    <w:p w:rsidR="0091242B" w:rsidRDefault="0091242B" w:rsidP="0091242B">
      <w:pPr>
        <w:pStyle w:val="BodyText"/>
        <w:ind w:left="3600" w:hanging="3600"/>
        <w:rPr>
          <w:b w:val="0"/>
        </w:rPr>
      </w:pPr>
    </w:p>
    <w:p w:rsidR="0091242B" w:rsidRDefault="0091242B" w:rsidP="0091242B">
      <w:pPr>
        <w:pStyle w:val="BodyText"/>
        <w:ind w:left="3600" w:hanging="3600"/>
      </w:pPr>
      <w:r w:rsidRPr="00D07892">
        <w:t>________________________________________________Date_________</w:t>
      </w:r>
    </w:p>
    <w:p w:rsidR="005E36EA" w:rsidRPr="00D07892" w:rsidRDefault="005E36EA" w:rsidP="0091242B">
      <w:pPr>
        <w:pStyle w:val="BodyText"/>
        <w:ind w:left="3600" w:hanging="360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tblGrid>
      <w:tr w:rsidR="0091242B" w:rsidRPr="008C40E5">
        <w:tc>
          <w:tcPr>
            <w:tcW w:w="243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pPr>
              <w:pStyle w:val="BodyText"/>
              <w:rPr>
                <w:u w:val="single"/>
              </w:rPr>
            </w:pPr>
            <w:r w:rsidRPr="008C40E5">
              <w:t>STUDENT SECTION</w:t>
            </w:r>
          </w:p>
        </w:tc>
      </w:tr>
    </w:tbl>
    <w:p w:rsidR="0091242B" w:rsidRPr="008C40E5" w:rsidRDefault="0091242B" w:rsidP="0091242B">
      <w:pPr>
        <w:pStyle w:val="BodyText"/>
        <w:ind w:left="3600" w:hanging="3600"/>
        <w:rPr>
          <w:b w:val="0"/>
        </w:rPr>
      </w:pPr>
    </w:p>
    <w:p w:rsidR="0091242B" w:rsidRPr="008C40E5" w:rsidRDefault="0091242B" w:rsidP="0091242B">
      <w:pPr>
        <w:pStyle w:val="BodyText"/>
        <w:rPr>
          <w:b w:val="0"/>
        </w:rPr>
      </w:pPr>
      <w:r w:rsidRPr="008C40E5">
        <w:rPr>
          <w:b w:val="0"/>
        </w:rPr>
        <w:t>I, ______(agree) ______(disagree) with the e</w:t>
      </w:r>
      <w:r>
        <w:rPr>
          <w:b w:val="0"/>
        </w:rPr>
        <w:t xml:space="preserve">valuation.  Use space below for additional </w:t>
      </w:r>
      <w:r w:rsidRPr="008C40E5">
        <w:rPr>
          <w:b w:val="0"/>
        </w:rPr>
        <w:t>comments.</w:t>
      </w:r>
    </w:p>
    <w:p w:rsidR="0091242B" w:rsidRPr="008C40E5" w:rsidRDefault="0091242B" w:rsidP="0091242B">
      <w:pPr>
        <w:pStyle w:val="BodyText"/>
        <w:ind w:left="3600" w:hanging="3600"/>
        <w:rPr>
          <w:b w:val="0"/>
          <w:sz w:val="12"/>
          <w:u w:val="single"/>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w:t>
      </w:r>
      <w:r>
        <w:rPr>
          <w:rFonts w:ascii="Verdana" w:hAnsi="Verdana"/>
          <w:b/>
        </w:rPr>
        <w:t>_____________</w:t>
      </w:r>
      <w:r w:rsidRPr="008C40E5">
        <w:rPr>
          <w:rFonts w:ascii="Verdana" w:hAnsi="Verdana"/>
          <w:b/>
        </w:rPr>
        <w:t>__</w:t>
      </w:r>
    </w:p>
    <w:p w:rsidR="0091242B" w:rsidRPr="008C40E5" w:rsidRDefault="0091242B" w:rsidP="0091242B">
      <w:pPr>
        <w:pStyle w:val="BodyText"/>
        <w:ind w:left="3600" w:hanging="3600"/>
        <w:rPr>
          <w:b w:val="0"/>
        </w:rPr>
      </w:pPr>
    </w:p>
    <w:p w:rsidR="0091242B" w:rsidRPr="008C40E5" w:rsidRDefault="0091242B" w:rsidP="0091242B">
      <w:pPr>
        <w:pStyle w:val="BodyText"/>
        <w:ind w:left="3600" w:hanging="3600"/>
        <w:rPr>
          <w:b w:val="0"/>
        </w:rPr>
      </w:pPr>
      <w:r w:rsidRPr="008C40E5">
        <w:rPr>
          <w:b w:val="0"/>
        </w:rPr>
        <w:t>__________________________________________________</w:t>
      </w:r>
      <w:r>
        <w:rPr>
          <w:b w:val="0"/>
        </w:rPr>
        <w:t>_______________</w:t>
      </w:r>
      <w:r w:rsidRPr="008C40E5">
        <w:rPr>
          <w:b w:val="0"/>
        </w:rPr>
        <w:t>__</w:t>
      </w:r>
    </w:p>
    <w:p w:rsidR="0091242B" w:rsidRPr="008C40E5" w:rsidRDefault="0091242B" w:rsidP="0091242B">
      <w:pPr>
        <w:pStyle w:val="BodyText"/>
        <w:ind w:left="3600" w:hanging="3600"/>
        <w:rPr>
          <w:b w:val="0"/>
          <w:sz w:val="12"/>
        </w:rPr>
      </w:pPr>
    </w:p>
    <w:p w:rsidR="0091242B" w:rsidRDefault="0091242B" w:rsidP="0091242B">
      <w:pPr>
        <w:rPr>
          <w:rFonts w:ascii="Verdana" w:hAnsi="Verdana"/>
          <w:b/>
        </w:rPr>
      </w:pPr>
      <w:r w:rsidRPr="008C40E5">
        <w:rPr>
          <w:rFonts w:ascii="Verdana" w:hAnsi="Verdana"/>
          <w:b/>
        </w:rPr>
        <w:t>__________________________________________</w:t>
      </w:r>
      <w:r>
        <w:rPr>
          <w:rFonts w:ascii="Verdana" w:hAnsi="Verdana"/>
          <w:b/>
        </w:rPr>
        <w:t>__________________</w:t>
      </w:r>
    </w:p>
    <w:p w:rsidR="0091242B" w:rsidRPr="008C40E5" w:rsidRDefault="0091242B" w:rsidP="0091242B">
      <w:pPr>
        <w:rPr>
          <w:rFonts w:ascii="Verdana" w:hAnsi="Verdana"/>
          <w:b/>
          <w:sz w:val="12"/>
        </w:rPr>
      </w:pPr>
    </w:p>
    <w:p w:rsidR="0091242B" w:rsidRDefault="0091242B" w:rsidP="0091242B">
      <w:pPr>
        <w:pStyle w:val="BodyText"/>
        <w:ind w:left="3600" w:hanging="3600"/>
        <w:rPr>
          <w:sz w:val="12"/>
        </w:rPr>
      </w:pPr>
    </w:p>
    <w:p w:rsidR="0091242B" w:rsidRPr="008C40E5" w:rsidRDefault="0091242B" w:rsidP="0091242B">
      <w:pPr>
        <w:pStyle w:val="BodyText"/>
        <w:ind w:left="3600" w:hanging="3600"/>
        <w:rPr>
          <w:sz w:val="12"/>
        </w:rPr>
      </w:pPr>
    </w:p>
    <w:p w:rsidR="0091242B" w:rsidRDefault="0091242B" w:rsidP="0091242B">
      <w:pPr>
        <w:rPr>
          <w:rFonts w:ascii="Verdana" w:hAnsi="Verdana"/>
          <w:b/>
        </w:rPr>
      </w:pPr>
      <w:r w:rsidRPr="008C40E5">
        <w:rPr>
          <w:rFonts w:ascii="Verdana" w:hAnsi="Verdana"/>
          <w:b/>
        </w:rPr>
        <w:t xml:space="preserve">Student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___________________________________________Date______________</w:t>
      </w:r>
    </w:p>
    <w:p w:rsidR="0091242B" w:rsidRPr="008C40E5" w:rsidRDefault="0091242B" w:rsidP="0091242B">
      <w:pPr>
        <w:jc w:val="right"/>
        <w:rPr>
          <w:rFonts w:ascii="Verdana" w:hAnsi="Verdana"/>
          <w:szCs w:val="20"/>
        </w:rPr>
      </w:pPr>
      <w:r w:rsidRPr="008C40E5">
        <w:rPr>
          <w:rFonts w:ascii="Verdana" w:hAnsi="Verdana"/>
          <w:sz w:val="16"/>
          <w:szCs w:val="16"/>
        </w:rPr>
        <w:t xml:space="preserve">     </w:t>
      </w:r>
    </w:p>
    <w:p w:rsidR="0091242B" w:rsidRPr="008C40E5" w:rsidRDefault="0091242B" w:rsidP="0091242B">
      <w:pPr>
        <w:rPr>
          <w:rFonts w:ascii="Verdana" w:hAnsi="Verdana"/>
          <w:szCs w:val="20"/>
        </w:rPr>
      </w:pPr>
    </w:p>
    <w:p w:rsidR="00D07892" w:rsidRDefault="00D07892" w:rsidP="00D07892">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B3" w:rsidRDefault="00A06BB3" w:rsidP="00001421">
      <w:r>
        <w:separator/>
      </w:r>
    </w:p>
  </w:endnote>
  <w:endnote w:type="continuationSeparator" w:id="0">
    <w:p w:rsidR="00A06BB3" w:rsidRDefault="00A06BB3"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4153CB">
      <w:rPr>
        <w:noProof/>
      </w:rPr>
      <w:t>2</w:t>
    </w:r>
    <w:r>
      <w:fldChar w:fldCharType="end"/>
    </w:r>
    <w:r>
      <w:t xml:space="preserve"> of </w:t>
    </w:r>
    <w:fldSimple w:instr=" NUMPAGES ">
      <w:r w:rsidR="004153CB">
        <w:rPr>
          <w:noProof/>
        </w:rPr>
        <w:t>8</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B3" w:rsidRDefault="00A06BB3" w:rsidP="00001421">
      <w:r>
        <w:separator/>
      </w:r>
    </w:p>
  </w:footnote>
  <w:footnote w:type="continuationSeparator" w:id="0">
    <w:p w:rsidR="00A06BB3" w:rsidRDefault="00A06BB3"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E197E"/>
    <w:rsid w:val="001258A3"/>
    <w:rsid w:val="001723AC"/>
    <w:rsid w:val="00206669"/>
    <w:rsid w:val="002764F3"/>
    <w:rsid w:val="002943F5"/>
    <w:rsid w:val="002F636A"/>
    <w:rsid w:val="003109CC"/>
    <w:rsid w:val="00320F34"/>
    <w:rsid w:val="00345E03"/>
    <w:rsid w:val="003A6D77"/>
    <w:rsid w:val="003D1D31"/>
    <w:rsid w:val="004153CB"/>
    <w:rsid w:val="004A2E5A"/>
    <w:rsid w:val="004C368F"/>
    <w:rsid w:val="004E55D3"/>
    <w:rsid w:val="005550FC"/>
    <w:rsid w:val="00582A35"/>
    <w:rsid w:val="005963CC"/>
    <w:rsid w:val="005E36EA"/>
    <w:rsid w:val="006930EA"/>
    <w:rsid w:val="006D058F"/>
    <w:rsid w:val="0074302C"/>
    <w:rsid w:val="00751FC1"/>
    <w:rsid w:val="00770FDF"/>
    <w:rsid w:val="00804E7C"/>
    <w:rsid w:val="008B2B53"/>
    <w:rsid w:val="0091242B"/>
    <w:rsid w:val="0095506B"/>
    <w:rsid w:val="0099165E"/>
    <w:rsid w:val="009B2555"/>
    <w:rsid w:val="00A06BB3"/>
    <w:rsid w:val="00AF0E9D"/>
    <w:rsid w:val="00BE5935"/>
    <w:rsid w:val="00C15DD0"/>
    <w:rsid w:val="00C706B9"/>
    <w:rsid w:val="00CA7064"/>
    <w:rsid w:val="00D07892"/>
    <w:rsid w:val="00D837E2"/>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B1F04084-4B76-4179-BA17-77CCD13D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2</cp:revision>
  <cp:lastPrinted>2019-11-11T18:41:00Z</cp:lastPrinted>
  <dcterms:created xsi:type="dcterms:W3CDTF">2019-11-11T18:48:00Z</dcterms:created>
  <dcterms:modified xsi:type="dcterms:W3CDTF">2019-11-11T18:48:00Z</dcterms:modified>
</cp:coreProperties>
</file>